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Информация</w:t>
      </w:r>
      <w:r>
        <w:rPr>
          <w:sz w:val="28"/>
          <w:szCs w:val="28"/>
          <w:highlight w:val="none"/>
        </w:rPr>
        <w:t xml:space="preserve"> о </w:t>
      </w:r>
      <w:r>
        <w:rPr>
          <w:sz w:val="28"/>
          <w:szCs w:val="28"/>
          <w:highlight w:val="none"/>
        </w:rPr>
        <w:t xml:space="preserve">достижении целевых показателей</w:t>
      </w:r>
      <w:r>
        <w:rPr>
          <w:sz w:val="28"/>
          <w:szCs w:val="28"/>
          <w:highlight w:val="none"/>
        </w:rPr>
        <w:t xml:space="preserve"> по региональным проектам </w:t>
      </w:r>
      <w:r>
        <w:rPr>
          <w:sz w:val="28"/>
          <w:szCs w:val="28"/>
          <w:highlight w:val="none"/>
        </w:rPr>
        <w:t xml:space="preserve">в рамках национальных проектов</w:t>
      </w:r>
      <w:r>
        <w:rPr>
          <w:highlight w:val="none"/>
        </w:rPr>
      </w:r>
      <w:r/>
    </w:p>
    <w:p>
      <w:pPr>
        <w:pStyle w:val="814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муниципальном образовании Камешковский район</w:t>
      </w:r>
      <w:r>
        <w:rPr>
          <w:highlight w:val="none"/>
        </w:rPr>
      </w:r>
      <w:r/>
    </w:p>
    <w:p>
      <w:pPr>
        <w:pStyle w:val="814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за </w:t>
      </w:r>
      <w:r>
        <w:rPr>
          <w:sz w:val="28"/>
          <w:szCs w:val="28"/>
          <w:highlight w:val="none"/>
        </w:rPr>
        <w:t xml:space="preserve">202</w:t>
      </w: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none"/>
        </w:rPr>
        <w:t xml:space="preserve"> год</w:t>
      </w:r>
      <w:r>
        <w:rPr>
          <w:highlight w:val="none"/>
        </w:rPr>
      </w:r>
      <w:r/>
    </w:p>
    <w:p>
      <w:pPr>
        <w:pStyle w:val="814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tbl>
      <w:tblPr>
        <w:tblW w:w="1545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3542"/>
        <w:gridCol w:w="994"/>
        <w:gridCol w:w="992"/>
        <w:gridCol w:w="6095"/>
      </w:tblGrid>
      <w:tr>
        <w:trPr/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Национальный проект</w:t>
            </w:r>
            <w:r>
              <w:rPr>
                <w:highlight w:val="none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Региональный проект</w:t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W w:w="5528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Цели и целевые показатели</w:t>
            </w:r>
            <w:r>
              <w:rPr>
                <w:highlight w:val="none"/>
              </w:rPr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Примечания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</w:t>
            </w:r>
            <w:r>
              <w:rPr>
                <w:highlight w:val="none"/>
              </w:rPr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План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Факт</w:t>
            </w:r>
            <w:r>
              <w:rPr>
                <w:highlight w:val="none"/>
              </w:rPr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2394"/>
        </w:trPr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Образование</w:t>
            </w:r>
            <w:r>
              <w:rPr>
                <w:highlight w:val="none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Современная школа</w:t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highlight w:val="none"/>
              </w:rPr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2ед.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2ед.</w:t>
            </w:r>
            <w:r>
              <w:rPr>
                <w:highlight w:val="none"/>
              </w:rPr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проекту «Современная школа» в 2022 году открыты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shd w:val="clear" w:color="auto" w:fill="ffffff"/>
              </w:rPr>
              <w:t xml:space="preserve"> в Сергеихинской и Новкинской школах.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shd w:val="clear" w:color="auto" w:fill="ffffff"/>
              </w:rPr>
              <w:t xml:space="preserve">Центры образования естественно-научной и технологической направленности.</w:t>
            </w:r>
            <w:r>
              <w:rPr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shd w:val="clear" w:color="auto" w:fill="ffffff"/>
              </w:rPr>
              <w:t xml:space="preserve">Для этого созданы просторные зоны для совместного обучения и творчества – специально оборудованные кабинеты, ремонт которых произведен в соответствие с фирменным стилем центров «Точка роста».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>
          <w:cantSplit/>
          <w:trHeight w:val="2825"/>
        </w:trPr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jc w:val="center"/>
            </w:pPr>
            <w:r/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Цифровая образовательная среда</w:t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Внедрение цифровой образовательной среды в общеобразовательных организациях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4 ед.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4 ед.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</w:t>
            </w:r>
            <w:r>
              <w:rPr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4 общеобразовательные организации:</w:t>
            </w:r>
            <w:r>
              <w:rPr>
                <w:sz w:val="24"/>
                <w:szCs w:val="24"/>
              </w:rPr>
              <w:t xml:space="preserve"> Сергеихинская СОШ, Мирновская СОШ, Серебровская ООШ, Вахр</w:t>
            </w:r>
            <w:r>
              <w:rPr>
                <w:sz w:val="24"/>
                <w:szCs w:val="24"/>
              </w:rPr>
              <w:t xml:space="preserve">омеевская СОШ.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новое компьютерное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приобретены многофункциональные устройства, ноутбуки для управленческого персонала и педагогов и для мобильного 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увеличению скорости Интернет в  общеобразовательных учреждениях,  все 12 школ соответствуют предъявляемым требованиям к скорости Интернет,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</w:t>
            </w:r>
            <w:r>
              <w:rPr>
                <w:rFonts w:ascii="Tinos" w:hAnsi="Tinos" w:cs="Tinos"/>
                <w:sz w:val="24"/>
                <w:szCs w:val="24"/>
              </w:rPr>
              <w:t xml:space="preserve">олы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одключены к Единой сети передачи данных.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Демография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Спорт - норма жизни</w:t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6"/>
              <w:jc w:val="both"/>
              <w:spacing w:after="0"/>
              <w:shd w:val="clear" w:color="auto" w:fill="ffffff"/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Приведение муниципальных учреждений спортивной подготовки в нормативное состояние. Увеличение количества занимающихся на этапах спортивной подготовки в организациях, осуществляющих спортивную подготовку.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1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both"/>
              <w:spacing w:line="253" w:lineRule="atLeast"/>
              <w:shd w:val="clear" w:color="auto" w:fill="ffffff"/>
            </w:pPr>
            <w:r>
              <w:rPr>
                <w:color w:val="000000"/>
                <w:lang w:eastAsia="ru-RU"/>
              </w:rPr>
              <w:t xml:space="preserve">В рамках реализации данного проекта для 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приведения в нормативное состояние муниципального учреждения спортивной школы «Триумф»</w:t>
            </w:r>
            <w:r>
              <w:rPr>
                <w:color w:val="000000"/>
                <w:lang w:eastAsia="ru-RU"/>
              </w:rPr>
              <w:t xml:space="preserve"> приобретены: спортивный инвентарь для занятий спортивной акробатикой и аэробикой; комплекты спортивного оборудования для занятий тяжелой атлетикой; инвентарь для занятий боксом, пауэрлифтингом, волейболом; боксерская экипировка.</w:t>
            </w:r>
            <w:r/>
          </w:p>
        </w:tc>
      </w:tr>
      <w:tr>
        <w:trPr>
          <w:cantSplit/>
          <w:trHeight w:val="1276"/>
        </w:trPr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Жилье и городская среда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Формирование комфортной городской среды</w:t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Благоустройство общественных и дворовых территорий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4</w:t>
            </w:r>
            <w:r>
              <w:t xml:space="preserve"> ед.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4 ед.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both"/>
              <w:rPr>
                <w:sz w:val="24"/>
                <w:szCs w:val="24"/>
              </w:rPr>
            </w:pPr>
            <w:r>
              <w:t xml:space="preserve">О</w:t>
            </w:r>
            <w:r>
              <w:rPr>
                <w:sz w:val="24"/>
                <w:szCs w:val="24"/>
              </w:rPr>
              <w:t xml:space="preserve">бустроены 3 дворовые территории г.Камешково: ул. Молодежная д. 2, ул. Школьная, д.</w:t>
            </w:r>
            <w:r>
              <w:rPr>
                <w:sz w:val="24"/>
                <w:szCs w:val="24"/>
              </w:rPr>
              <w:t xml:space="preserve"> 7, ул. Смурова, д. 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общественн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Ленина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814"/>
              <w:jc w:val="center"/>
            </w:pPr>
            <w:r/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Обеспечение устойчивого сокращения непригодного для проживания жилищного фонда</w:t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Переселение населения из непригодного для проживания жилищного фонда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4332,9 кв.м.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rPr>
                <w:color w:val="000000" w:themeColor="text1"/>
              </w:rPr>
              <w:t xml:space="preserve">2873,4</w:t>
            </w:r>
            <w:r>
              <w:t xml:space="preserve">кв.м.</w:t>
            </w:r>
            <w:r>
              <w:rPr>
                <w:color w:val="ff0000"/>
              </w:rPr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both"/>
            </w:pPr>
            <w:r>
              <w:t xml:space="preserve">В 2022 году в рамках реализации проекта удалось сократить </w:t>
            </w:r>
            <w:r>
              <w:t xml:space="preserve">81 </w:t>
            </w:r>
            <w:r>
              <w:t xml:space="preserve">помещение площадью</w:t>
            </w:r>
            <w:r>
              <w:t xml:space="preserve"> </w:t>
            </w:r>
            <w:r>
              <w:t xml:space="preserve">2873,4 кв.м.</w:t>
            </w:r>
            <w:r>
              <w:t xml:space="preserve">непригодное для проживания: в городе Камешково – 63, в МО Сергеихинское – 13, в МО Второвское – </w:t>
            </w:r>
            <w:r>
              <w:t xml:space="preserve">5.</w:t>
            </w:r>
            <w:r/>
          </w:p>
        </w:tc>
      </w:tr>
      <w:tr>
        <w:trPr>
          <w:cantSplit/>
          <w:trHeight w:val="1134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Малое и среднее предпринимательство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А</w:t>
            </w:r>
            <w:r>
              <w:rPr>
                <w:highlight w:val="none"/>
              </w:rPr>
              <w:t xml:space="preserve">кселерация субъектов малого и среднего предпринима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т</w:t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  <w:t xml:space="preserve">ельства</w:t>
            </w:r>
            <w:r/>
            <w:r/>
            <w:r>
              <w:rPr>
                <w:highlight w:val="none"/>
              </w:rPr>
            </w:r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Поддержка субъектов малого и среднего предпринимательства 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1 ед.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1 ед.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both"/>
            </w:pPr>
            <w:r>
              <w:t xml:space="preserve">По итогам конкурсного отбора по мероприятию «Субсидирование части затрат субъектов МСП, связанных с уплатой лизинговых платежей и (и</w:t>
            </w:r>
            <w:r>
              <w:t xml:space="preserve">ли) первого взноса по договору лизинга, заключенному с российской лизинговой организацией в целях создания и (или) развития либо модернизации производства товаров (работ, услуг)» субсидию получил 1 субъект МПС: ООО «Скат-33». Благодаря этой мере поддержки </w:t>
            </w:r>
            <w:r>
              <w:t xml:space="preserve">предприятием </w:t>
            </w:r>
            <w:r>
              <w:t xml:space="preserve">приобре</w:t>
            </w:r>
            <w:r>
              <w:t xml:space="preserve">тен</w:t>
            </w:r>
            <w:r>
              <w:t xml:space="preserve"> автогрейдер </w:t>
            </w:r>
            <w:r>
              <w:rPr>
                <w:lang w:val="en-US"/>
              </w:rPr>
              <w:t xml:space="preserve">SDLG</w:t>
            </w:r>
            <w:r>
              <w:t xml:space="preserve"> </w:t>
            </w:r>
            <w:r>
              <w:rPr>
                <w:lang w:val="en-US"/>
              </w:rPr>
              <w:t xml:space="preserve">G</w:t>
            </w:r>
            <w:r>
              <w:t xml:space="preserve">9165.</w:t>
            </w:r>
            <w:r>
              <w:t xml:space="preserve"> </w:t>
            </w:r>
            <w:r/>
          </w:p>
        </w:tc>
      </w:tr>
      <w:tr>
        <w:trPr/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Безопасные и качественные автомобильные дороги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Дорожная сеть Владимирской области</w:t>
            </w:r>
            <w:r>
              <w:rPr>
                <w:highlight w:val="none"/>
              </w:rPr>
            </w:r>
            <w:r/>
          </w:p>
        </w:tc>
        <w:tc>
          <w:tcPr>
            <w:tcW w:w="354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Цель: увеличение к 2024 году доли автомобильных дорог, включенных в состав Владимирской городской агломерации до 88,02 %; снижение к 2024 году количества мест концентрации дорожно-транспортных происшествий (авар</w:t>
            </w:r>
            <w:r>
              <w:t xml:space="preserve">ийно-опасных участков) на дорожной сети в два раза по сравнению с 2017 годом; применение новых механизмов развития и эксплуатации дорожной сети, включая использование наилучших технологий и материалов и контрактов на принципах контрактов жизненного цикла. </w:t>
            </w:r>
            <w:r/>
          </w:p>
        </w:tc>
        <w:tc>
          <w:tcPr>
            <w:tcW w:w="994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1,007 </w:t>
            </w:r>
            <w:r>
              <w:t xml:space="preserve"> </w:t>
            </w:r>
            <w:r>
              <w:t xml:space="preserve">км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1,007 км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pStyle w:val="81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позволило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городе Камешково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дороги и тро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протяженностью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1,007 км,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городе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светофор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Т-образном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перекрестке улиц   Свердлова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Дорофеичева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обеспечить  функционирование двух камер видеонаблюдения.</w:t>
            </w:r>
            <w:r/>
          </w:p>
        </w:tc>
      </w:tr>
    </w:tbl>
    <w:sectPr>
      <w:footnotePr/>
      <w:endnotePr/>
      <w:type w:val="continuous"/>
      <w:pgSz w:w="16838" w:h="11906" w:orient="landscape"/>
      <w:pgMar w:top="567" w:right="567" w:bottom="426" w:left="1134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ahoma">
    <w:panose1 w:val="020B0606040504020204"/>
  </w:font>
  <w:font w:name="Calibri">
    <w:panose1 w:val="020F0502020204030204"/>
  </w:font>
  <w:font w:name="Mangal">
    <w:panose1 w:val="02040503050406030204"/>
  </w:font>
  <w:font w:name="Liberation Sans">
    <w:panose1 w:val="020B0604020202020204"/>
  </w:font>
  <w:font w:name="Times New Roman">
    <w:panose1 w:val="020206030504050203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5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4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ru-RU" w:eastAsia="zh-CN" w:bidi="ar-SA"/>
    </w:rPr>
  </w:style>
  <w:style w:type="paragraph" w:styleId="815">
    <w:name w:val="Заголовок 1"/>
    <w:basedOn w:val="814"/>
    <w:next w:val="814"/>
    <w:link w:val="814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816">
    <w:name w:val="Заголовок 2"/>
    <w:basedOn w:val="814"/>
    <w:next w:val="814"/>
    <w:link w:val="911"/>
    <w:uiPriority w:val="9"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817">
    <w:name w:val="Основной шрифт абзаца"/>
    <w:next w:val="817"/>
    <w:link w:val="814"/>
    <w:uiPriority w:val="1"/>
    <w:semiHidden/>
    <w:unhideWhenUsed/>
  </w:style>
  <w:style w:type="table" w:styleId="818">
    <w:name w:val="Обычная таблица"/>
    <w:next w:val="818"/>
    <w:link w:val="814"/>
    <w:uiPriority w:val="99"/>
    <w:semiHidden/>
    <w:unhideWhenUsed/>
    <w:tblPr/>
  </w:style>
  <w:style w:type="numbering" w:styleId="819">
    <w:name w:val="Нет списка"/>
    <w:next w:val="819"/>
    <w:link w:val="814"/>
    <w:uiPriority w:val="99"/>
    <w:semiHidden/>
    <w:unhideWhenUsed/>
  </w:style>
  <w:style w:type="character" w:styleId="820">
    <w:name w:val="WW8Num1z0"/>
    <w:next w:val="820"/>
    <w:link w:val="814"/>
  </w:style>
  <w:style w:type="character" w:styleId="821">
    <w:name w:val="WW8Num1z1"/>
    <w:next w:val="821"/>
    <w:link w:val="814"/>
  </w:style>
  <w:style w:type="character" w:styleId="822">
    <w:name w:val="WW8Num1z2"/>
    <w:next w:val="822"/>
    <w:link w:val="814"/>
  </w:style>
  <w:style w:type="character" w:styleId="823">
    <w:name w:val="WW8Num1z3"/>
    <w:next w:val="823"/>
    <w:link w:val="814"/>
  </w:style>
  <w:style w:type="character" w:styleId="824">
    <w:name w:val="WW8Num1z4"/>
    <w:next w:val="824"/>
    <w:link w:val="814"/>
  </w:style>
  <w:style w:type="character" w:styleId="825">
    <w:name w:val="WW8Num1z5"/>
    <w:next w:val="825"/>
    <w:link w:val="814"/>
  </w:style>
  <w:style w:type="character" w:styleId="826">
    <w:name w:val="WW8Num1z6"/>
    <w:next w:val="826"/>
    <w:link w:val="814"/>
  </w:style>
  <w:style w:type="character" w:styleId="827">
    <w:name w:val="WW8Num1z7"/>
    <w:next w:val="827"/>
    <w:link w:val="814"/>
  </w:style>
  <w:style w:type="character" w:styleId="828">
    <w:name w:val="WW8Num1z8"/>
    <w:next w:val="828"/>
    <w:link w:val="814"/>
  </w:style>
  <w:style w:type="character" w:styleId="829">
    <w:name w:val="Основной шрифт абзаца2"/>
    <w:next w:val="829"/>
    <w:link w:val="814"/>
  </w:style>
  <w:style w:type="character" w:styleId="830">
    <w:name w:val="WW8Num2z0"/>
    <w:next w:val="830"/>
    <w:link w:val="814"/>
  </w:style>
  <w:style w:type="character" w:styleId="831">
    <w:name w:val="WW8Num2z1"/>
    <w:next w:val="831"/>
    <w:link w:val="814"/>
  </w:style>
  <w:style w:type="character" w:styleId="832">
    <w:name w:val="WW8Num2z2"/>
    <w:next w:val="832"/>
    <w:link w:val="814"/>
  </w:style>
  <w:style w:type="character" w:styleId="833">
    <w:name w:val="WW8Num2z3"/>
    <w:next w:val="833"/>
    <w:link w:val="814"/>
  </w:style>
  <w:style w:type="character" w:styleId="834">
    <w:name w:val="WW8Num2z4"/>
    <w:next w:val="834"/>
    <w:link w:val="814"/>
  </w:style>
  <w:style w:type="character" w:styleId="835">
    <w:name w:val="WW8Num2z5"/>
    <w:next w:val="835"/>
    <w:link w:val="814"/>
  </w:style>
  <w:style w:type="character" w:styleId="836">
    <w:name w:val="WW8Num2z6"/>
    <w:next w:val="836"/>
    <w:link w:val="814"/>
  </w:style>
  <w:style w:type="character" w:styleId="837">
    <w:name w:val="WW8Num2z7"/>
    <w:next w:val="837"/>
    <w:link w:val="814"/>
  </w:style>
  <w:style w:type="character" w:styleId="838">
    <w:name w:val="WW8Num2z8"/>
    <w:next w:val="838"/>
    <w:link w:val="814"/>
  </w:style>
  <w:style w:type="character" w:styleId="839">
    <w:name w:val="WW8Num3z0"/>
    <w:next w:val="839"/>
    <w:link w:val="814"/>
  </w:style>
  <w:style w:type="character" w:styleId="840">
    <w:name w:val="WW8Num3z1"/>
    <w:next w:val="840"/>
    <w:link w:val="814"/>
  </w:style>
  <w:style w:type="character" w:styleId="841">
    <w:name w:val="WW8Num3z2"/>
    <w:next w:val="841"/>
    <w:link w:val="814"/>
  </w:style>
  <w:style w:type="character" w:styleId="842">
    <w:name w:val="WW8Num3z3"/>
    <w:next w:val="842"/>
    <w:link w:val="814"/>
  </w:style>
  <w:style w:type="character" w:styleId="843">
    <w:name w:val="WW8Num3z4"/>
    <w:next w:val="843"/>
    <w:link w:val="814"/>
  </w:style>
  <w:style w:type="character" w:styleId="844">
    <w:name w:val="WW8Num3z5"/>
    <w:next w:val="844"/>
    <w:link w:val="814"/>
  </w:style>
  <w:style w:type="character" w:styleId="845">
    <w:name w:val="WW8Num3z6"/>
    <w:next w:val="845"/>
    <w:link w:val="814"/>
  </w:style>
  <w:style w:type="character" w:styleId="846">
    <w:name w:val="WW8Num3z7"/>
    <w:next w:val="846"/>
    <w:link w:val="814"/>
  </w:style>
  <w:style w:type="character" w:styleId="847">
    <w:name w:val="WW8Num3z8"/>
    <w:next w:val="847"/>
    <w:link w:val="814"/>
  </w:style>
  <w:style w:type="character" w:styleId="848">
    <w:name w:val="WW8Num4z0"/>
    <w:next w:val="848"/>
    <w:link w:val="814"/>
  </w:style>
  <w:style w:type="character" w:styleId="849">
    <w:name w:val="WW8Num4z1"/>
    <w:next w:val="849"/>
    <w:link w:val="814"/>
  </w:style>
  <w:style w:type="character" w:styleId="850">
    <w:name w:val="WW8Num4z2"/>
    <w:next w:val="850"/>
    <w:link w:val="814"/>
  </w:style>
  <w:style w:type="character" w:styleId="851">
    <w:name w:val="WW8Num4z3"/>
    <w:next w:val="851"/>
    <w:link w:val="814"/>
  </w:style>
  <w:style w:type="character" w:styleId="852">
    <w:name w:val="WW8Num4z4"/>
    <w:next w:val="852"/>
    <w:link w:val="814"/>
  </w:style>
  <w:style w:type="character" w:styleId="853">
    <w:name w:val="WW8Num4z5"/>
    <w:next w:val="853"/>
    <w:link w:val="814"/>
  </w:style>
  <w:style w:type="character" w:styleId="854">
    <w:name w:val="WW8Num4z6"/>
    <w:next w:val="854"/>
    <w:link w:val="814"/>
  </w:style>
  <w:style w:type="character" w:styleId="855">
    <w:name w:val="WW8Num4z7"/>
    <w:next w:val="855"/>
    <w:link w:val="814"/>
  </w:style>
  <w:style w:type="character" w:styleId="856">
    <w:name w:val="WW8Num4z8"/>
    <w:next w:val="856"/>
    <w:link w:val="814"/>
  </w:style>
  <w:style w:type="character" w:styleId="857">
    <w:name w:val="WW8Num5z0"/>
    <w:next w:val="857"/>
    <w:link w:val="814"/>
  </w:style>
  <w:style w:type="character" w:styleId="858">
    <w:name w:val="WW8Num5z1"/>
    <w:next w:val="858"/>
    <w:link w:val="814"/>
  </w:style>
  <w:style w:type="character" w:styleId="859">
    <w:name w:val="WW8Num5z2"/>
    <w:next w:val="859"/>
    <w:link w:val="814"/>
  </w:style>
  <w:style w:type="character" w:styleId="860">
    <w:name w:val="WW8Num5z3"/>
    <w:next w:val="860"/>
    <w:link w:val="814"/>
  </w:style>
  <w:style w:type="character" w:styleId="861">
    <w:name w:val="WW8Num5z4"/>
    <w:next w:val="861"/>
    <w:link w:val="814"/>
  </w:style>
  <w:style w:type="character" w:styleId="862">
    <w:name w:val="WW8Num5z5"/>
    <w:next w:val="862"/>
    <w:link w:val="814"/>
  </w:style>
  <w:style w:type="character" w:styleId="863">
    <w:name w:val="WW8Num5z6"/>
    <w:next w:val="863"/>
    <w:link w:val="814"/>
  </w:style>
  <w:style w:type="character" w:styleId="864">
    <w:name w:val="WW8Num5z7"/>
    <w:next w:val="864"/>
    <w:link w:val="814"/>
  </w:style>
  <w:style w:type="character" w:styleId="865">
    <w:name w:val="WW8Num5z8"/>
    <w:next w:val="865"/>
    <w:link w:val="814"/>
  </w:style>
  <w:style w:type="character" w:styleId="866">
    <w:name w:val="WW8Num6z0"/>
    <w:next w:val="866"/>
    <w:link w:val="814"/>
    <w:rPr>
      <w:b w:val="0"/>
    </w:rPr>
  </w:style>
  <w:style w:type="character" w:styleId="867">
    <w:name w:val="WW8Num6z1"/>
    <w:next w:val="867"/>
    <w:link w:val="814"/>
  </w:style>
  <w:style w:type="character" w:styleId="868">
    <w:name w:val="WW8Num6z2"/>
    <w:next w:val="868"/>
    <w:link w:val="814"/>
  </w:style>
  <w:style w:type="character" w:styleId="869">
    <w:name w:val="WW8Num6z3"/>
    <w:next w:val="869"/>
    <w:link w:val="814"/>
  </w:style>
  <w:style w:type="character" w:styleId="870">
    <w:name w:val="WW8Num6z4"/>
    <w:next w:val="870"/>
    <w:link w:val="814"/>
  </w:style>
  <w:style w:type="character" w:styleId="871">
    <w:name w:val="WW8Num6z5"/>
    <w:next w:val="871"/>
    <w:link w:val="814"/>
  </w:style>
  <w:style w:type="character" w:styleId="872">
    <w:name w:val="WW8Num6z6"/>
    <w:next w:val="872"/>
    <w:link w:val="814"/>
  </w:style>
  <w:style w:type="character" w:styleId="873">
    <w:name w:val="WW8Num6z7"/>
    <w:next w:val="873"/>
    <w:link w:val="814"/>
  </w:style>
  <w:style w:type="character" w:styleId="874">
    <w:name w:val="WW8Num6z8"/>
    <w:next w:val="874"/>
    <w:link w:val="814"/>
  </w:style>
  <w:style w:type="character" w:styleId="875">
    <w:name w:val="WW8Num7z0"/>
    <w:next w:val="875"/>
    <w:link w:val="814"/>
  </w:style>
  <w:style w:type="character" w:styleId="876">
    <w:name w:val="WW8Num7z1"/>
    <w:next w:val="876"/>
    <w:link w:val="814"/>
  </w:style>
  <w:style w:type="character" w:styleId="877">
    <w:name w:val="WW8Num7z2"/>
    <w:next w:val="877"/>
    <w:link w:val="814"/>
  </w:style>
  <w:style w:type="character" w:styleId="878">
    <w:name w:val="WW8Num7z3"/>
    <w:next w:val="878"/>
    <w:link w:val="814"/>
  </w:style>
  <w:style w:type="character" w:styleId="879">
    <w:name w:val="WW8Num7z4"/>
    <w:next w:val="879"/>
    <w:link w:val="814"/>
  </w:style>
  <w:style w:type="character" w:styleId="880">
    <w:name w:val="WW8Num7z5"/>
    <w:next w:val="880"/>
    <w:link w:val="814"/>
  </w:style>
  <w:style w:type="character" w:styleId="881">
    <w:name w:val="WW8Num7z6"/>
    <w:next w:val="881"/>
    <w:link w:val="814"/>
  </w:style>
  <w:style w:type="character" w:styleId="882">
    <w:name w:val="WW8Num7z7"/>
    <w:next w:val="882"/>
    <w:link w:val="814"/>
  </w:style>
  <w:style w:type="character" w:styleId="883">
    <w:name w:val="WW8Num7z8"/>
    <w:next w:val="883"/>
    <w:link w:val="814"/>
  </w:style>
  <w:style w:type="character" w:styleId="884">
    <w:name w:val="Основной шрифт абзаца1"/>
    <w:next w:val="884"/>
    <w:link w:val="814"/>
  </w:style>
  <w:style w:type="character" w:styleId="885">
    <w:name w:val="Основной текст Знак"/>
    <w:basedOn w:val="884"/>
    <w:next w:val="885"/>
    <w:link w:val="814"/>
    <w:rPr>
      <w:rFonts w:ascii="Times New Roman" w:hAnsi="Times New Roman" w:eastAsia="Times New Roman" w:cs="Times New Roman"/>
      <w:sz w:val="32"/>
      <w:szCs w:val="20"/>
    </w:rPr>
  </w:style>
  <w:style w:type="character" w:styleId="886">
    <w:name w:val="Верхний колонтитул Знак"/>
    <w:basedOn w:val="884"/>
    <w:next w:val="886"/>
    <w:link w:val="814"/>
    <w:rPr>
      <w:rFonts w:ascii="Times New Roman" w:hAnsi="Times New Roman" w:eastAsia="Times New Roman" w:cs="Times New Roman"/>
      <w:sz w:val="24"/>
      <w:szCs w:val="24"/>
    </w:rPr>
  </w:style>
  <w:style w:type="character" w:styleId="887">
    <w:name w:val="Номер страницы"/>
    <w:basedOn w:val="884"/>
    <w:next w:val="887"/>
    <w:link w:val="814"/>
  </w:style>
  <w:style w:type="character" w:styleId="888">
    <w:name w:val="apple-converted-space"/>
    <w:basedOn w:val="884"/>
    <w:next w:val="888"/>
    <w:link w:val="814"/>
  </w:style>
  <w:style w:type="character" w:styleId="889">
    <w:name w:val="Заголовок 1 Знак"/>
    <w:basedOn w:val="884"/>
    <w:next w:val="889"/>
    <w:link w:val="814"/>
    <w:rPr>
      <w:rFonts w:ascii="Cambria" w:hAnsi="Cambria" w:eastAsia="Times New Roman" w:cs="Times New Roman"/>
      <w:b/>
      <w:bCs/>
      <w:sz w:val="32"/>
      <w:szCs w:val="32"/>
    </w:rPr>
  </w:style>
  <w:style w:type="paragraph" w:styleId="890">
    <w:name w:val="Заголовок"/>
    <w:basedOn w:val="814"/>
    <w:next w:val="891"/>
    <w:link w:val="814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891">
    <w:name w:val="Основной текст"/>
    <w:basedOn w:val="814"/>
    <w:next w:val="891"/>
    <w:link w:val="814"/>
    <w:pPr>
      <w:jc w:val="center"/>
    </w:pPr>
    <w:rPr>
      <w:sz w:val="32"/>
      <w:szCs w:val="20"/>
    </w:rPr>
  </w:style>
  <w:style w:type="paragraph" w:styleId="892">
    <w:name w:val="Список"/>
    <w:basedOn w:val="891"/>
    <w:next w:val="892"/>
    <w:link w:val="814"/>
    <w:rPr>
      <w:rFonts w:cs="Mangal"/>
    </w:rPr>
  </w:style>
  <w:style w:type="paragraph" w:styleId="893">
    <w:name w:val="Название объекта"/>
    <w:basedOn w:val="814"/>
    <w:next w:val="893"/>
    <w:link w:val="814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94">
    <w:name w:val="Указатель2"/>
    <w:basedOn w:val="814"/>
    <w:next w:val="894"/>
    <w:link w:val="814"/>
    <w:pPr>
      <w:suppressLineNumbers/>
    </w:pPr>
    <w:rPr>
      <w:rFonts w:cs="Mangal"/>
    </w:rPr>
  </w:style>
  <w:style w:type="paragraph" w:styleId="895">
    <w:name w:val="Название объекта1"/>
    <w:basedOn w:val="814"/>
    <w:next w:val="895"/>
    <w:link w:val="814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96">
    <w:name w:val="Указатель1"/>
    <w:basedOn w:val="814"/>
    <w:next w:val="896"/>
    <w:link w:val="814"/>
    <w:pPr>
      <w:suppressLineNumbers/>
    </w:pPr>
    <w:rPr>
      <w:rFonts w:cs="Mangal"/>
    </w:rPr>
  </w:style>
  <w:style w:type="paragraph" w:styleId="897">
    <w:name w:val="ConsPlusNormal"/>
    <w:next w:val="897"/>
    <w:link w:val="814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898">
    <w:name w:val="Верхний колонтитул"/>
    <w:basedOn w:val="814"/>
    <w:next w:val="898"/>
    <w:link w:val="814"/>
    <w:pPr>
      <w:tabs>
        <w:tab w:val="center" w:pos="4677" w:leader="none"/>
        <w:tab w:val="right" w:pos="9355" w:leader="none"/>
      </w:tabs>
    </w:pPr>
  </w:style>
  <w:style w:type="paragraph" w:styleId="899">
    <w:name w:val="Абзац списка"/>
    <w:basedOn w:val="814"/>
    <w:next w:val="899"/>
    <w:link w:val="912"/>
    <w:uiPriority w:val="34"/>
    <w:qFormat/>
    <w:pPr>
      <w:contextualSpacing/>
      <w:ind w:left="720" w:right="0" w:firstLine="0"/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paragraph" w:styleId="900">
    <w:name w:val="Без интервала"/>
    <w:next w:val="900"/>
    <w:link w:val="814"/>
    <w:qFormat/>
    <w:rPr>
      <w:sz w:val="24"/>
      <w:szCs w:val="24"/>
      <w:lang w:val="ru-RU" w:eastAsia="zh-CN" w:bidi="ar-SA"/>
    </w:rPr>
  </w:style>
  <w:style w:type="paragraph" w:styleId="901">
    <w:name w:val="Содержимое таблицы"/>
    <w:basedOn w:val="814"/>
    <w:next w:val="901"/>
    <w:link w:val="814"/>
    <w:pPr>
      <w:suppressLineNumbers/>
    </w:pPr>
  </w:style>
  <w:style w:type="paragraph" w:styleId="902">
    <w:name w:val="Заголовок таблицы"/>
    <w:basedOn w:val="901"/>
    <w:next w:val="902"/>
    <w:link w:val="814"/>
    <w:pPr>
      <w:jc w:val="center"/>
      <w:suppressLineNumbers/>
    </w:pPr>
    <w:rPr>
      <w:b/>
      <w:bCs/>
    </w:rPr>
  </w:style>
  <w:style w:type="paragraph" w:styleId="903">
    <w:name w:val="Содержимое врезки"/>
    <w:basedOn w:val="814"/>
    <w:next w:val="903"/>
    <w:link w:val="814"/>
  </w:style>
  <w:style w:type="character" w:styleId="904">
    <w:name w:val="Гиперссылка"/>
    <w:basedOn w:val="817"/>
    <w:next w:val="904"/>
    <w:link w:val="814"/>
    <w:uiPriority w:val="99"/>
    <w:unhideWhenUsed/>
    <w:rPr>
      <w:color w:val="0000ff"/>
      <w:u w:val="single"/>
    </w:rPr>
  </w:style>
  <w:style w:type="paragraph" w:styleId="905">
    <w:name w:val="Обычный (веб)"/>
    <w:basedOn w:val="814"/>
    <w:next w:val="905"/>
    <w:link w:val="814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table" w:styleId="906">
    <w:name w:val="Сетка таблицы"/>
    <w:basedOn w:val="818"/>
    <w:next w:val="906"/>
    <w:link w:val="814"/>
    <w:uiPriority w:val="59"/>
    <w:tblPr/>
  </w:style>
  <w:style w:type="paragraph" w:styleId="907">
    <w:name w:val="Нижний колонтитул"/>
    <w:basedOn w:val="814"/>
    <w:next w:val="907"/>
    <w:link w:val="90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8">
    <w:name w:val="Нижний колонтитул Знак"/>
    <w:basedOn w:val="817"/>
    <w:next w:val="908"/>
    <w:link w:val="907"/>
    <w:uiPriority w:val="99"/>
    <w:semiHidden/>
    <w:rPr>
      <w:sz w:val="24"/>
      <w:szCs w:val="24"/>
      <w:lang w:eastAsia="zh-CN"/>
    </w:rPr>
  </w:style>
  <w:style w:type="paragraph" w:styleId="909">
    <w:name w:val="Текст выноски"/>
    <w:basedOn w:val="814"/>
    <w:next w:val="909"/>
    <w:link w:val="910"/>
    <w:uiPriority w:val="99"/>
    <w:semiHidden/>
    <w:unhideWhenUsed/>
    <w:rPr>
      <w:rFonts w:ascii="Tahoma" w:hAnsi="Tahoma" w:cs="Tahoma"/>
      <w:sz w:val="16"/>
      <w:szCs w:val="16"/>
    </w:rPr>
  </w:style>
  <w:style w:type="character" w:styleId="910">
    <w:name w:val="Текст выноски Знак"/>
    <w:basedOn w:val="817"/>
    <w:next w:val="910"/>
    <w:link w:val="909"/>
    <w:uiPriority w:val="99"/>
    <w:semiHidden/>
    <w:rPr>
      <w:rFonts w:ascii="Tahoma" w:hAnsi="Tahoma" w:cs="Tahoma"/>
      <w:sz w:val="16"/>
      <w:szCs w:val="16"/>
      <w:lang w:eastAsia="zh-CN"/>
    </w:rPr>
  </w:style>
  <w:style w:type="character" w:styleId="911">
    <w:name w:val="Заголовок 2 Знак"/>
    <w:basedOn w:val="817"/>
    <w:next w:val="911"/>
    <w:link w:val="816"/>
    <w:uiPriority w:val="9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912">
    <w:name w:val="Абзац списка Знак"/>
    <w:next w:val="912"/>
    <w:link w:val="899"/>
    <w:uiPriority w:val="34"/>
    <w:rPr>
      <w:rFonts w:ascii="Calibri" w:hAnsi="Calibri"/>
      <w:sz w:val="22"/>
      <w:szCs w:val="22"/>
      <w:lang w:eastAsia="zh-CN"/>
    </w:rPr>
  </w:style>
  <w:style w:type="character" w:styleId="913" w:default="1">
    <w:name w:val="Default Paragraph Font"/>
    <w:uiPriority w:val="1"/>
    <w:semiHidden/>
    <w:unhideWhenUsed/>
  </w:style>
  <w:style w:type="numbering" w:styleId="914" w:default="1">
    <w:name w:val="No List"/>
    <w:uiPriority w:val="99"/>
    <w:semiHidden/>
    <w:unhideWhenUsed/>
  </w:style>
  <w:style w:type="table" w:styleId="915" w:default="1">
    <w:name w:val="Normal Table"/>
    <w:uiPriority w:val="99"/>
    <w:semiHidden/>
    <w:unhideWhenUsed/>
    <w:tblPr/>
  </w:style>
  <w:style w:type="paragraph" w:styleId="916" w:customStyle="1">
    <w:name w:val="Абзац списка1"/>
    <w:pPr>
      <w:contextualSpacing w:val="0"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Spiridonoff</dc:creator>
  <cp:revision>119</cp:revision>
  <dcterms:created xsi:type="dcterms:W3CDTF">2012-01-10T05:25:00Z</dcterms:created>
  <dcterms:modified xsi:type="dcterms:W3CDTF">2023-01-13T05:40:10Z</dcterms:modified>
  <cp:version>786432</cp:version>
</cp:coreProperties>
</file>